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235E" w:rsidRPr="00A6235E" w:rsidRDefault="00A6235E" w:rsidP="00A6235E">
      <w:pPr>
        <w:spacing w:after="0" w:line="240" w:lineRule="auto"/>
        <w:outlineLvl w:val="0"/>
        <w:rPr>
          <w:rFonts w:ascii="Calibri" w:eastAsia="Times New Roman" w:hAnsi="Calibri" w:cs="Calibri"/>
          <w:i/>
          <w:iCs/>
          <w:kern w:val="36"/>
          <w:sz w:val="38"/>
          <w:szCs w:val="38"/>
          <w:lang w:eastAsia="ru-RU"/>
        </w:rPr>
      </w:pPr>
      <w:r w:rsidRPr="00A6235E">
        <w:rPr>
          <w:rFonts w:ascii="Calibri" w:eastAsia="Times New Roman" w:hAnsi="Calibri" w:cs="Calibri"/>
          <w:i/>
          <w:iCs/>
          <w:kern w:val="36"/>
          <w:sz w:val="38"/>
          <w:szCs w:val="38"/>
          <w:lang w:eastAsia="ru-RU"/>
        </w:rPr>
        <w:t>Грамматическая тетрадь №1</w:t>
      </w:r>
    </w:p>
    <w:p w:rsidR="00A6235E" w:rsidRPr="00A6235E" w:rsidRDefault="00A6235E" w:rsidP="00A6235E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6"/>
          <w:szCs w:val="26"/>
          <w:lang w:eastAsia="ru-RU"/>
        </w:rPr>
      </w:pPr>
      <w:r w:rsidRPr="00A6235E">
        <w:rPr>
          <w:rFonts w:ascii="inherit" w:eastAsia="Times New Roman" w:hAnsi="inherit" w:cs="Calibri"/>
          <w:b/>
          <w:bCs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>Простые предложения. Глаголы в множественном числе. Существительные.</w:t>
      </w:r>
    </w:p>
    <w:p w:rsidR="00A6235E" w:rsidRPr="00A6235E" w:rsidRDefault="00A6235E" w:rsidP="00A6235E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6"/>
          <w:szCs w:val="26"/>
          <w:lang w:eastAsia="ru-RU"/>
        </w:rPr>
      </w:pPr>
      <w:r w:rsidRPr="00A6235E">
        <w:rPr>
          <w:rFonts w:ascii="inherit" w:eastAsia="Times New Roman" w:hAnsi="inherit" w:cs="Calibri"/>
          <w:color w:val="333333"/>
          <w:sz w:val="26"/>
          <w:szCs w:val="26"/>
          <w:lang w:eastAsia="ru-RU"/>
        </w:rPr>
        <w:t xml:space="preserve">Уважаемые взрослые! Вы держите в руках первую грамматическую тетрадь серии «Развитие речи шаг за шагом». Почему эта рабочая тетрадь необходима для вашего ребенка? Выполняя интересные и увлекательные задания в нашей тетради, ваш малыш в игровой форме сможет научиться составлять предложения, правильно употреблять существительные в винительном, родительном, дательном, творительном и предложном падежах, обогатит свой словарный запас глаголами и многозначными словами, познакомится с простыми предлогами. В следующих рабочих тетрадях (всего в серии 4 грамматические тетради) материал будет постепенно усложняться, но неизменной останется игровая интерактивная форма подачи материала. Ребенок не просто слушает и повторяет, пассивно рассматривая картинки, но и активно работает с ними: выбирает, обводит, дорисовывает, распутывает линии и т.д. Это способствует более эффективному усвоению материала, развивает внимание, память и позволяет избежать утомления. Упражнения, которые вы найдете в этой и других грамматических тетрадях, помогут сформировать грамматический строй речи, приобрести четкие грамматические представления, будут способствовать развитию речи. Все это поможет вашему ребенку избежать трудностей при обучении письму и чтению в школе. Ведь грамматика русского языка очень сложна. За достаточно короткий срок дети на практическом уровне должны усвоить огромное количество грамматических категорий. Если к началу школьного обучения дошкольник не усвоил грамматические нормы родного языка (неправильно употребляет предлоги, </w:t>
      </w:r>
      <w:proofErr w:type="gramStart"/>
      <w:r w:rsidRPr="00A6235E">
        <w:rPr>
          <w:rFonts w:ascii="inherit" w:eastAsia="Times New Roman" w:hAnsi="inherit" w:cs="Calibri"/>
          <w:color w:val="333333"/>
          <w:sz w:val="26"/>
          <w:szCs w:val="26"/>
          <w:lang w:eastAsia="ru-RU"/>
        </w:rPr>
        <w:t>изменяет</w:t>
      </w:r>
      <w:proofErr w:type="gramEnd"/>
      <w:r w:rsidRPr="00A6235E">
        <w:rPr>
          <w:rFonts w:ascii="inherit" w:eastAsia="Times New Roman" w:hAnsi="inherit" w:cs="Calibri"/>
          <w:color w:val="333333"/>
          <w:sz w:val="26"/>
          <w:szCs w:val="26"/>
          <w:lang w:eastAsia="ru-RU"/>
        </w:rPr>
        <w:t xml:space="preserve"> но падежам, затрудняется в построении предложений и т.д.), это может явиться причиной нарушений чтения и письма. Даже в ходе нормального речевого развития ребенок не сразу усваивает грамматическую систему родного языка. При общем недоразвитии речи (ОНР) формирование грамматического строя речи происходит медленно и с большим трудом. В реализации целенаправленной и систематической работы по формированию грамматического строя языка большую помощь окажут грамматические тетради.</w:t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39AAEA9" wp14:editId="49F2478C">
            <wp:extent cx="4772025" cy="7058025"/>
            <wp:effectExtent l="0" t="0" r="9525" b="9525"/>
            <wp:docPr id="1" name="Рисунок 1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02B640E" wp14:editId="09C357D4">
            <wp:extent cx="4743450" cy="6762750"/>
            <wp:effectExtent l="0" t="0" r="0" b="0"/>
            <wp:docPr id="2" name="Рисунок 2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BAA650C" wp14:editId="3BA18979">
            <wp:extent cx="4648200" cy="7096125"/>
            <wp:effectExtent l="0" t="0" r="0" b="9525"/>
            <wp:docPr id="3" name="Рисунок 3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2F34FDB" wp14:editId="49F6CE2E">
            <wp:extent cx="4762500" cy="6981825"/>
            <wp:effectExtent l="0" t="0" r="0" b="9525"/>
            <wp:docPr id="4" name="Рисунок 4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B4B5DE0" wp14:editId="49C753FE">
            <wp:extent cx="4705350" cy="7077075"/>
            <wp:effectExtent l="0" t="0" r="0" b="9525"/>
            <wp:docPr id="5" name="Рисунок 5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55D21A3" wp14:editId="348434AD">
            <wp:extent cx="5000625" cy="7124700"/>
            <wp:effectExtent l="0" t="0" r="9525" b="0"/>
            <wp:docPr id="6" name="Рисунок 6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0E013B9" wp14:editId="58AAD246">
            <wp:extent cx="4695825" cy="7067550"/>
            <wp:effectExtent l="0" t="0" r="9525" b="0"/>
            <wp:docPr id="7" name="Рисунок 7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F61922D" wp14:editId="4E0FB248">
            <wp:extent cx="5019675" cy="7038975"/>
            <wp:effectExtent l="0" t="0" r="9525" b="9525"/>
            <wp:docPr id="8" name="Рисунок 8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D318664" wp14:editId="1CD12603">
            <wp:extent cx="4629150" cy="7096125"/>
            <wp:effectExtent l="0" t="0" r="0" b="9525"/>
            <wp:docPr id="9" name="Рисунок 9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FFD6D16" wp14:editId="48571E09">
            <wp:extent cx="4800600" cy="6962775"/>
            <wp:effectExtent l="0" t="0" r="0" b="9525"/>
            <wp:docPr id="10" name="Рисунок 10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84EDF21" wp14:editId="27EDDAA5">
            <wp:extent cx="4638675" cy="7010400"/>
            <wp:effectExtent l="0" t="0" r="9525" b="0"/>
            <wp:docPr id="11" name="Рисунок 11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4D2AB50" wp14:editId="2BDC17BD">
            <wp:extent cx="4638675" cy="7000875"/>
            <wp:effectExtent l="0" t="0" r="9525" b="9525"/>
            <wp:docPr id="12" name="Рисунок 12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102E9FD" wp14:editId="491FFE18">
            <wp:extent cx="4752975" cy="6972300"/>
            <wp:effectExtent l="0" t="0" r="9525" b="0"/>
            <wp:docPr id="13" name="Рисунок 13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7D76528" wp14:editId="706C87F6">
            <wp:extent cx="4800600" cy="7019925"/>
            <wp:effectExtent l="0" t="0" r="0" b="9525"/>
            <wp:docPr id="14" name="Рисунок 14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D5065A2" wp14:editId="1E2DAC28">
            <wp:extent cx="4714875" cy="7029450"/>
            <wp:effectExtent l="0" t="0" r="9525" b="0"/>
            <wp:docPr id="15" name="Рисунок 15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057B0DF" wp14:editId="0ACDCADF">
            <wp:extent cx="4810125" cy="6896100"/>
            <wp:effectExtent l="0" t="0" r="9525" b="0"/>
            <wp:docPr id="16" name="Рисунок 16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F293D9F" wp14:editId="4F89A80B">
            <wp:extent cx="4762500" cy="7067550"/>
            <wp:effectExtent l="0" t="0" r="0" b="0"/>
            <wp:docPr id="17" name="Рисунок 17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C2DB1BD" wp14:editId="74F3F6C9">
            <wp:extent cx="4695825" cy="7086600"/>
            <wp:effectExtent l="0" t="0" r="9525" b="0"/>
            <wp:docPr id="18" name="Рисунок 18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008633F" wp14:editId="3A01783E">
            <wp:extent cx="4762500" cy="7058025"/>
            <wp:effectExtent l="0" t="0" r="0" b="9525"/>
            <wp:docPr id="19" name="Рисунок 19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CD43B94" wp14:editId="1F35119A">
            <wp:extent cx="4791075" cy="7077075"/>
            <wp:effectExtent l="0" t="0" r="9525" b="9525"/>
            <wp:docPr id="20" name="Рисунок 20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4FE98D9" wp14:editId="486A2F22">
            <wp:extent cx="4924425" cy="7067550"/>
            <wp:effectExtent l="0" t="0" r="9525" b="0"/>
            <wp:docPr id="21" name="Рисунок 21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63A8EE1" wp14:editId="0054DA08">
            <wp:extent cx="4686300" cy="7058025"/>
            <wp:effectExtent l="0" t="0" r="0" b="9525"/>
            <wp:docPr id="22" name="Рисунок 22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F88239C" wp14:editId="22DD1BB8">
            <wp:extent cx="4857750" cy="7038975"/>
            <wp:effectExtent l="0" t="0" r="0" b="9525"/>
            <wp:docPr id="23" name="Рисунок 23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4CAD14B" wp14:editId="0072D7D7">
            <wp:extent cx="4743450" cy="7038975"/>
            <wp:effectExtent l="0" t="0" r="0" b="9525"/>
            <wp:docPr id="24" name="Рисунок 24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3CBF7DF" wp14:editId="00745761">
            <wp:extent cx="4876800" cy="7058025"/>
            <wp:effectExtent l="0" t="0" r="0" b="9525"/>
            <wp:docPr id="25" name="Рисунок 25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2F106BF" wp14:editId="62DBC82F">
            <wp:extent cx="4733925" cy="7038975"/>
            <wp:effectExtent l="0" t="0" r="9525" b="9525"/>
            <wp:docPr id="26" name="Рисунок 26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shd w:val="clear" w:color="auto" w:fill="FFFFFF"/>
        <w:spacing w:after="75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inherit" w:eastAsia="Times New Roman" w:hAnsi="inherit" w:cs="Calibri"/>
          <w:color w:val="FFFFFF"/>
          <w:sz w:val="26"/>
          <w:szCs w:val="26"/>
          <w:bdr w:val="none" w:sz="0" w:space="0" w:color="auto" w:frame="1"/>
          <w:shd w:val="clear" w:color="auto" w:fill="9FA0A1"/>
          <w:lang w:eastAsia="ru-RU"/>
        </w:rPr>
        <w:t> </w:t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39C93F8" wp14:editId="3A9C5673">
            <wp:extent cx="4619625" cy="7019925"/>
            <wp:effectExtent l="0" t="0" r="9525" b="9525"/>
            <wp:docPr id="27" name="Рисунок 27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Pr="00A6235E" w:rsidRDefault="00A6235E" w:rsidP="00A6235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6235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8E56EFC" wp14:editId="2F2EF46B">
            <wp:extent cx="4714875" cy="7077075"/>
            <wp:effectExtent l="0" t="0" r="9525" b="9525"/>
            <wp:docPr id="28" name="Рисунок 28" descr="Грамматическая тетрадь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рамматическая тетрадь №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E" w:rsidRDefault="00A6235E"/>
    <w:sectPr w:rsidR="00A62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BE2536"/>
    <w:multiLevelType w:val="multilevel"/>
    <w:tmpl w:val="8FB23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35E"/>
    <w:rsid w:val="00A6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4EF0D-1BA6-469F-843B-742631917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61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578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09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Малахов</dc:creator>
  <cp:keywords/>
  <dc:description/>
  <cp:lastModifiedBy>Кирилл Малахов</cp:lastModifiedBy>
  <cp:revision>2</cp:revision>
  <dcterms:created xsi:type="dcterms:W3CDTF">2020-04-23T15:15:00Z</dcterms:created>
  <dcterms:modified xsi:type="dcterms:W3CDTF">2020-04-23T15:16:00Z</dcterms:modified>
</cp:coreProperties>
</file>